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88CA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center"/>
        <w:textAlignment w:val="auto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b/>
          <w:bCs/>
          <w:color w:val="000000"/>
          <w:sz w:val="36"/>
          <w:szCs w:val="36"/>
        </w:rPr>
        <w:t>栾樨</w:t>
      </w:r>
    </w:p>
    <w:p w14:paraId="7DC63F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center"/>
        <w:textAlignment w:val="auto"/>
        <w:rPr>
          <w:rFonts w:hint="eastAsia" w:ascii="黑体" w:hAnsi="黑体" w:eastAsia="黑体" w:cs="黑体"/>
          <w:color w:val="00000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Luanxi</w:t>
      </w:r>
    </w:p>
    <w:p w14:paraId="398A3B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center"/>
        <w:textAlignment w:val="auto"/>
        <w:rPr>
          <w:rFonts w:ascii="Times New Roman" w:hAnsi="Times New Roman" w:eastAsia="黑体"/>
          <w:color w:val="000000"/>
          <w:szCs w:val="21"/>
        </w:rPr>
      </w:pPr>
      <w:r>
        <w:rPr>
          <w:rFonts w:ascii="Times New Roman" w:hAnsi="Times New Roman" w:eastAsia="黑体"/>
          <w:b/>
          <w:bCs/>
          <w:color w:val="000000"/>
          <w:sz w:val="28"/>
          <w:szCs w:val="28"/>
        </w:rPr>
        <w:t>PLUCHEAE HERBA</w:t>
      </w:r>
    </w:p>
    <w:p w14:paraId="0720D3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24"/>
          <w:szCs w:val="24"/>
        </w:rPr>
        <w:t>本品为菊科植物阔苞菊</w:t>
      </w:r>
      <w:r>
        <w:rPr>
          <w:rFonts w:hint="default" w:ascii="Times New Roman" w:hAnsi="Times New Roman" w:cs="Times New Roman"/>
          <w:i/>
          <w:iCs/>
          <w:sz w:val="24"/>
          <w:szCs w:val="24"/>
        </w:rPr>
        <w:t>Pluchea indica</w:t>
      </w:r>
      <w:r>
        <w:rPr>
          <w:rFonts w:hint="default" w:ascii="Times New Roman" w:hAnsi="Times New Roman" w:cs="Times New Roman"/>
          <w:sz w:val="24"/>
          <w:szCs w:val="24"/>
        </w:rPr>
        <w:t xml:space="preserve"> (L.) Less.的干燥全草。</w:t>
      </w:r>
      <w:r>
        <w:rPr>
          <w:rFonts w:hint="default" w:ascii="Times New Roman" w:hAnsi="Times New Roman" w:cs="Times New Roman"/>
          <w:color w:val="000000"/>
          <w:sz w:val="24"/>
        </w:rPr>
        <w:t>全年可采，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除去杂质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>，</w:t>
      </w:r>
      <w:r>
        <w:rPr>
          <w:rFonts w:hint="default" w:ascii="Times New Roman" w:hAnsi="Times New Roman" w:cs="Times New Roman"/>
          <w:color w:val="000000"/>
          <w:sz w:val="24"/>
        </w:rPr>
        <w:t>干燥。</w:t>
      </w:r>
    </w:p>
    <w:p w14:paraId="115862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【性状】</w:t>
      </w:r>
      <w:r>
        <w:rPr>
          <w:rFonts w:hint="default" w:ascii="Times New Roman" w:hAnsi="Times New Roman" w:cs="Times New Roman"/>
          <w:sz w:val="24"/>
          <w:szCs w:val="24"/>
        </w:rPr>
        <w:t>本品主根不明显，侧根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呈</w:t>
      </w:r>
      <w:r>
        <w:rPr>
          <w:rFonts w:hint="default" w:ascii="Times New Roman" w:hAnsi="Times New Roman" w:cs="Times New Roman"/>
          <w:sz w:val="24"/>
          <w:szCs w:val="24"/>
        </w:rPr>
        <w:t>长圆柱形，多弯曲，直径0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.3～1.5</w:t>
      </w:r>
      <w:r>
        <w:rPr>
          <w:rFonts w:hint="default" w:ascii="Times New Roman" w:hAnsi="Times New Roman" w:cs="Times New Roman"/>
          <w:sz w:val="24"/>
          <w:szCs w:val="24"/>
        </w:rPr>
        <w:t>cm，表面黄棕色至黄褐色，有明显的纵皱纹及须根痕。茎呈圆柱形，直径0.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3～</w:t>
      </w:r>
      <w:r>
        <w:rPr>
          <w:rFonts w:hint="default" w:ascii="Times New Roman" w:hAnsi="Times New Roman" w:cs="Times New Roman"/>
          <w:sz w:val="24"/>
          <w:szCs w:val="24"/>
        </w:rPr>
        <w:t>3cm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表面灰棕色、黄棕色或棕色，有明显细沟纹，幼枝被丝状毛；质脆，断面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棕</w:t>
      </w:r>
      <w:r>
        <w:rPr>
          <w:rFonts w:hint="default" w:ascii="Times New Roman" w:hAnsi="Times New Roman" w:cs="Times New Roman"/>
          <w:sz w:val="24"/>
          <w:szCs w:val="24"/>
        </w:rPr>
        <w:t>黄色，中部有髓。叶皱缩，多破碎，完整叶片展平后呈卵形、倒卵状椭圆形或倒披针形，长1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～</w:t>
      </w:r>
      <w:r>
        <w:rPr>
          <w:rFonts w:hint="default" w:ascii="Times New Roman" w:hAnsi="Times New Roman" w:cs="Times New Roman"/>
          <w:sz w:val="24"/>
          <w:szCs w:val="24"/>
        </w:rPr>
        <w:t>8cm，宽1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～</w:t>
      </w:r>
      <w:r>
        <w:rPr>
          <w:rFonts w:hint="default" w:ascii="Times New Roman" w:hAnsi="Times New Roman" w:cs="Times New Roman"/>
          <w:sz w:val="24"/>
          <w:szCs w:val="24"/>
        </w:rPr>
        <w:t>4cm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边缘有不规则锯齿，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表面被丝状毛。</w:t>
      </w:r>
      <w:r>
        <w:rPr>
          <w:rFonts w:hint="default" w:ascii="Times New Roman" w:hAnsi="Times New Roman" w:cs="Times New Roman"/>
          <w:sz w:val="24"/>
          <w:szCs w:val="24"/>
        </w:rPr>
        <w:t>气清香，味淡。</w:t>
      </w:r>
    </w:p>
    <w:p w14:paraId="06C7EE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 w:eastAsiaTheme="majorEastAsia"/>
          <w:color w:val="000000"/>
          <w:sz w:val="24"/>
          <w:szCs w:val="24"/>
          <w:highlight w:val="yellow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【鉴别】</w:t>
      </w:r>
      <w:r>
        <w:rPr>
          <w:rFonts w:hint="default" w:ascii="Times New Roman" w:hAnsi="Times New Roman" w:cs="Times New Roman"/>
          <w:color w:val="000000"/>
          <w:sz w:val="24"/>
        </w:rPr>
        <w:t>（1）</w:t>
      </w:r>
      <w:r>
        <w:rPr>
          <w:rFonts w:hint="default" w:ascii="Times New Roman" w:hAnsi="Times New Roman" w:cs="Times New Roman"/>
          <w:color w:val="000000"/>
          <w:sz w:val="24"/>
          <w:highlight w:val="none"/>
        </w:rPr>
        <w:t>根横切面：</w:t>
      </w:r>
      <w:r>
        <w:rPr>
          <w:rFonts w:hint="default" w:ascii="Times New Roman" w:hAnsi="Times New Roman" w:cs="Times New Roman" w:eastAsiaTheme="majorEastAsia"/>
          <w:color w:val="000000"/>
          <w:sz w:val="24"/>
          <w:szCs w:val="24"/>
          <w:highlight w:val="none"/>
        </w:rPr>
        <w:t>木栓层为数列黄棕色细胞。皮层较宽，薄壁细胞内含橙黄色分泌物。内皮层明显，1</w:t>
      </w:r>
      <w:r>
        <w:rPr>
          <w:rFonts w:hint="eastAsia" w:ascii="Times New Roman" w:hAnsi="Times New Roman" w:cs="Times New Roman" w:eastAsiaTheme="majorEastAsia"/>
          <w:color w:val="000000"/>
          <w:sz w:val="24"/>
          <w:szCs w:val="24"/>
          <w:highlight w:val="none"/>
          <w:lang w:val="en-US" w:eastAsia="zh-CN"/>
        </w:rPr>
        <w:t>～</w:t>
      </w:r>
      <w:r>
        <w:rPr>
          <w:rFonts w:hint="default" w:ascii="Times New Roman" w:hAnsi="Times New Roman" w:cs="Times New Roman" w:eastAsiaTheme="majorEastAsia"/>
          <w:color w:val="000000"/>
          <w:sz w:val="24"/>
          <w:szCs w:val="24"/>
          <w:highlight w:val="none"/>
        </w:rPr>
        <w:t>2列细胞，外侧可见分泌腔散在。韧皮部较窄，韧皮纤维束断续排列成环。木质部导管放射状排列，木射线2～6列。</w:t>
      </w:r>
    </w:p>
    <w:p w14:paraId="3F02F2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 w:eastAsiaTheme="majorEastAsia"/>
          <w:color w:val="000000"/>
          <w:sz w:val="24"/>
          <w:szCs w:val="24"/>
        </w:rPr>
      </w:pPr>
      <w:r>
        <w:rPr>
          <w:rFonts w:hint="default" w:ascii="Times New Roman" w:hAnsi="Times New Roman" w:cs="Times New Roman" w:eastAsiaTheme="majorEastAsia"/>
          <w:color w:val="000000"/>
          <w:sz w:val="24"/>
          <w:szCs w:val="24"/>
        </w:rPr>
        <w:t>粉末黄棕色。非腺毛多碎断，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完整者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由5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～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30</w:t>
      </w:r>
      <w:r>
        <w:rPr>
          <w:rFonts w:hint="default" w:ascii="Times New Roman" w:hAnsi="Times New Roman" w:cs="Times New Roman"/>
          <w:sz w:val="24"/>
          <w:szCs w:val="24"/>
          <w:highlight w:val="none"/>
        </w:rPr>
        <w:t>个细胞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组成</w:t>
      </w:r>
      <w:r>
        <w:rPr>
          <w:rFonts w:hint="default" w:ascii="Times New Roman" w:hAnsi="Times New Roman" w:cs="Times New Roman" w:eastAsiaTheme="majorEastAsia"/>
          <w:color w:val="000000"/>
          <w:sz w:val="24"/>
          <w:szCs w:val="24"/>
        </w:rPr>
        <w:t>，多弯曲，有时缢缩。</w:t>
      </w:r>
      <w:r>
        <w:rPr>
          <w:rFonts w:hint="default" w:ascii="Times New Roman" w:hAnsi="Times New Roman" w:cs="Times New Roman" w:eastAsiaTheme="majorEastAsia"/>
          <w:color w:val="000000"/>
          <w:sz w:val="24"/>
          <w:szCs w:val="24"/>
          <w:lang w:val="en-US" w:eastAsia="zh-CN"/>
        </w:rPr>
        <w:t>叶</w:t>
      </w:r>
      <w:r>
        <w:rPr>
          <w:rFonts w:hint="default" w:ascii="Times New Roman" w:hAnsi="Times New Roman" w:cs="Times New Roman" w:eastAsiaTheme="majorEastAsia"/>
          <w:color w:val="000000"/>
          <w:sz w:val="24"/>
          <w:szCs w:val="24"/>
        </w:rPr>
        <w:t>表皮细胞多角形，垂周壁平直，气孔</w:t>
      </w:r>
      <w:r>
        <w:rPr>
          <w:rFonts w:hint="default" w:ascii="Times New Roman" w:hAnsi="Times New Roman" w:cs="Times New Roman" w:eastAsiaTheme="majorEastAsia"/>
          <w:color w:val="000000"/>
          <w:sz w:val="24"/>
          <w:szCs w:val="24"/>
          <w:lang w:val="en-US" w:eastAsia="zh-CN"/>
        </w:rPr>
        <w:t>多为</w:t>
      </w:r>
      <w:r>
        <w:rPr>
          <w:rFonts w:hint="default" w:ascii="Times New Roman" w:hAnsi="Times New Roman" w:cs="Times New Roman" w:eastAsiaTheme="majorEastAsia"/>
          <w:color w:val="000000"/>
          <w:sz w:val="24"/>
          <w:szCs w:val="24"/>
        </w:rPr>
        <w:t>不定式或不等式。纤维</w:t>
      </w:r>
      <w:r>
        <w:rPr>
          <w:rFonts w:hint="default" w:ascii="Times New Roman" w:hAnsi="Times New Roman" w:cs="Times New Roman" w:eastAsiaTheme="majorEastAsia"/>
          <w:color w:val="000000"/>
          <w:sz w:val="24"/>
          <w:szCs w:val="24"/>
          <w:lang w:val="en-US" w:eastAsia="zh-CN"/>
        </w:rPr>
        <w:t>成束或散在</w:t>
      </w:r>
      <w:r>
        <w:rPr>
          <w:rFonts w:hint="default" w:ascii="Times New Roman" w:hAnsi="Times New Roman" w:cs="Times New Roman" w:eastAsiaTheme="majorEastAsia"/>
          <w:color w:val="000000"/>
          <w:sz w:val="24"/>
          <w:szCs w:val="24"/>
        </w:rPr>
        <w:t>，壁厚。木栓细胞类多角形或类长方形，淡黄色至棕黄色。导管主要为具缘纹孔导管和网纹导管。</w:t>
      </w:r>
    </w:p>
    <w:p w14:paraId="6F2403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 w:eastAsiaTheme="majorEastAsia"/>
          <w:color w:val="000000"/>
          <w:sz w:val="24"/>
          <w:szCs w:val="24"/>
        </w:rPr>
      </w:pPr>
      <w:r>
        <w:rPr>
          <w:rFonts w:hint="default" w:ascii="Times New Roman" w:hAnsi="Times New Roman" w:cs="Times New Roman" w:eastAsiaTheme="majorEastAsia"/>
          <w:color w:val="000000"/>
          <w:sz w:val="24"/>
          <w:szCs w:val="24"/>
        </w:rPr>
        <w:t>（2）取本品粉末0.5g，加50%乙醇20ml，超声处理30分钟，滤过，滤液蒸干，残渣加甲醇2ml使溶解，作为供试品溶液。另取栾樨对照药材0.5g，同法制成对照药材溶液。照薄层色谱法（《中国药典》2025年版通则0502）试验，吸取上述两种溶液各5</w:t>
      </w:r>
      <w:r>
        <w:rPr>
          <w:rFonts w:hint="default" w:ascii="Times New Roman" w:hAnsi="Times New Roman" w:cs="Times New Roman"/>
          <w:color w:val="000000"/>
          <w:sz w:val="24"/>
        </w:rPr>
        <w:t>～10μl</w:t>
      </w:r>
      <w:r>
        <w:rPr>
          <w:rFonts w:hint="default" w:ascii="Times New Roman" w:hAnsi="Times New Roman" w:cs="Times New Roman" w:eastAsiaTheme="majorEastAsia"/>
          <w:color w:val="000000"/>
          <w:sz w:val="24"/>
          <w:szCs w:val="24"/>
        </w:rPr>
        <w:t>，分别点于同一硅胶</w:t>
      </w:r>
      <w:r>
        <w:rPr>
          <w:rFonts w:hint="default" w:ascii="Times New Roman" w:hAnsi="Times New Roman" w:cs="Times New Roman" w:eastAsiaTheme="majorEastAsia"/>
          <w:sz w:val="24"/>
          <w:szCs w:val="24"/>
        </w:rPr>
        <w:t>G</w:t>
      </w:r>
      <w:r>
        <w:rPr>
          <w:rFonts w:hint="default" w:ascii="Times New Roman" w:hAnsi="Times New Roman" w:cs="Times New Roman" w:eastAsiaTheme="majorEastAsia"/>
          <w:color w:val="000000"/>
          <w:sz w:val="24"/>
          <w:szCs w:val="24"/>
        </w:rPr>
        <w:t>薄层板上，以乙酸丁酯-甲酸-水（7.5:2.5:2.5）上层溶液为展开剂，展开，取出，晾干。喷以5%三氯化铝乙醇试液，热风吹干，置紫外光灯（365nm）下检视。供试品色谱中，在与对照药材色谱相应的位置上，显相同颜色的荧光斑点。</w:t>
      </w:r>
    </w:p>
    <w:p w14:paraId="025FE5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【检查】水分</w:t>
      </w:r>
      <w:r>
        <w:rPr>
          <w:rFonts w:hint="default" w:ascii="Times New Roman" w:hAnsi="Times New Roman" w:cs="Times New Roman"/>
          <w:color w:val="000000"/>
          <w:sz w:val="24"/>
        </w:rPr>
        <w:t xml:space="preserve">  不得过13.0%（《中国药典》2025年版通则0832第二法）。</w:t>
      </w:r>
    </w:p>
    <w:p w14:paraId="33F398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总灰分</w:t>
      </w:r>
      <w:r>
        <w:rPr>
          <w:rFonts w:hint="default" w:ascii="Times New Roman" w:hAnsi="Times New Roman" w:cs="Times New Roman"/>
          <w:color w:val="000000"/>
          <w:sz w:val="24"/>
        </w:rPr>
        <w:t xml:space="preserve">  不得过</w:t>
      </w:r>
      <w:r>
        <w:rPr>
          <w:rFonts w:hint="default" w:ascii="Times New Roman" w:hAnsi="Times New Roman" w:cs="Times New Roman"/>
          <w:color w:val="000000"/>
          <w:sz w:val="24"/>
          <w:highlight w:val="none"/>
          <w:lang w:val="en-US" w:eastAsia="zh-CN"/>
        </w:rPr>
        <w:t>9</w:t>
      </w:r>
      <w:r>
        <w:rPr>
          <w:rFonts w:hint="default" w:ascii="Times New Roman" w:hAnsi="Times New Roman" w:cs="Times New Roman"/>
          <w:color w:val="000000"/>
          <w:sz w:val="24"/>
          <w:highlight w:val="none"/>
        </w:rPr>
        <w:t>.0%</w:t>
      </w:r>
      <w:r>
        <w:rPr>
          <w:rFonts w:hint="default" w:ascii="Times New Roman" w:hAnsi="Times New Roman" w:cs="Times New Roman"/>
          <w:color w:val="000000"/>
          <w:sz w:val="24"/>
        </w:rPr>
        <w:t>（</w:t>
      </w:r>
      <w:bookmarkStart w:id="0" w:name="OLE_LINK120"/>
      <w:r>
        <w:rPr>
          <w:rFonts w:hint="default" w:ascii="Times New Roman" w:hAnsi="Times New Roman" w:cs="Times New Roman"/>
          <w:color w:val="000000"/>
          <w:sz w:val="24"/>
        </w:rPr>
        <w:t>《中国药典》2025年版通则230</w:t>
      </w:r>
      <w:bookmarkEnd w:id="0"/>
      <w:r>
        <w:rPr>
          <w:rFonts w:hint="default" w:ascii="Times New Roman" w:hAnsi="Times New Roman" w:cs="Times New Roman"/>
          <w:color w:val="000000"/>
          <w:sz w:val="24"/>
        </w:rPr>
        <w:t>2）。</w:t>
      </w:r>
    </w:p>
    <w:p w14:paraId="232466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酸不溶性灰分</w:t>
      </w:r>
      <w:r>
        <w:rPr>
          <w:rFonts w:hint="default" w:ascii="Times New Roman" w:hAnsi="Times New Roman" w:cs="Times New Roman"/>
          <w:color w:val="000000"/>
          <w:sz w:val="24"/>
        </w:rPr>
        <w:t xml:space="preserve">  不得过3.0%（</w:t>
      </w:r>
      <w:bookmarkStart w:id="1" w:name="OLE_LINK123"/>
      <w:bookmarkStart w:id="2" w:name="OLE_LINK122"/>
      <w:r>
        <w:rPr>
          <w:rFonts w:hint="default" w:ascii="Times New Roman" w:hAnsi="Times New Roman" w:cs="Times New Roman"/>
          <w:color w:val="000000"/>
          <w:sz w:val="24"/>
        </w:rPr>
        <w:t>《中国药典》2025年版通则230</w:t>
      </w:r>
      <w:bookmarkEnd w:id="1"/>
      <w:bookmarkEnd w:id="2"/>
      <w:r>
        <w:rPr>
          <w:rFonts w:hint="default" w:ascii="Times New Roman" w:hAnsi="Times New Roman" w:cs="Times New Roman"/>
          <w:color w:val="000000"/>
          <w:sz w:val="24"/>
        </w:rPr>
        <w:t>2）。</w:t>
      </w:r>
    </w:p>
    <w:p w14:paraId="467693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【浸出物】</w:t>
      </w:r>
      <w:r>
        <w:rPr>
          <w:rFonts w:hint="default" w:ascii="Times New Roman" w:hAnsi="Times New Roman" w:cs="Times New Roman"/>
          <w:color w:val="000000"/>
          <w:sz w:val="24"/>
        </w:rPr>
        <w:t>照水溶性浸出物测定法（《中国药典》2025年版通则2201）项下的热浸法测定，不得少于</w:t>
      </w:r>
      <w:r>
        <w:rPr>
          <w:rFonts w:hint="default" w:ascii="Times New Roman" w:hAnsi="Times New Roman" w:cs="Times New Roman"/>
          <w:sz w:val="24"/>
        </w:rPr>
        <w:t>25.0%</w:t>
      </w:r>
      <w:r>
        <w:rPr>
          <w:rFonts w:hint="default" w:ascii="Times New Roman" w:hAnsi="Times New Roman" w:cs="Times New Roman"/>
          <w:color w:val="000000"/>
          <w:sz w:val="24"/>
        </w:rPr>
        <w:t>。</w:t>
      </w:r>
    </w:p>
    <w:p w14:paraId="4DFC36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eastAsia="黑体" w:cs="Times New Roman"/>
          <w:sz w:val="24"/>
        </w:rPr>
        <w:t>【含量测定】</w:t>
      </w:r>
      <w:r>
        <w:rPr>
          <w:rFonts w:hint="default" w:ascii="Times New Roman" w:hAnsi="Times New Roman" w:cs="Times New Roman"/>
          <w:sz w:val="24"/>
        </w:rPr>
        <w:t>照高效液相色谱法（《中国药典》2025年版通则0512）测定。</w:t>
      </w:r>
    </w:p>
    <w:p w14:paraId="5FC958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zh-CN"/>
        </w:rPr>
      </w:pPr>
      <w:r>
        <w:rPr>
          <w:rFonts w:hint="default" w:ascii="Times New Roman" w:hAnsi="Times New Roman" w:eastAsia="黑体" w:cs="Times New Roman"/>
          <w:sz w:val="24"/>
        </w:rPr>
        <w:t>色谱条件与系统适用性试验</w:t>
      </w:r>
      <w:r>
        <w:rPr>
          <w:rFonts w:hint="default" w:ascii="Times New Roman" w:hAnsi="Times New Roman" w:cs="Times New Roman"/>
          <w:sz w:val="24"/>
        </w:rPr>
        <w:t xml:space="preserve">  以十八烷基硅烷键合硅胶为填充剂；以乙腈为流动相A，0.4%磷酸溶液为流动相B，按下表中的规定进行梯度洗脱；检测波长为327nm。</w:t>
      </w:r>
      <w:r>
        <w:rPr>
          <w:rFonts w:hint="default" w:ascii="Times New Roman" w:hAnsi="Times New Roman" w:cs="Times New Roman"/>
          <w:sz w:val="24"/>
          <w:szCs w:val="24"/>
          <w:lang w:val="zh-CN"/>
        </w:rPr>
        <w:t>理论板数按</w:t>
      </w:r>
      <w:r>
        <w:rPr>
          <w:rFonts w:hint="default" w:ascii="Times New Roman" w:hAnsi="Times New Roman" w:cs="Times New Roman"/>
          <w:bCs/>
          <w:sz w:val="24"/>
          <w:szCs w:val="24"/>
        </w:rPr>
        <w:t>绿原酸</w:t>
      </w:r>
      <w:r>
        <w:rPr>
          <w:rFonts w:hint="default" w:ascii="Times New Roman" w:hAnsi="Times New Roman" w:cs="Times New Roman"/>
          <w:sz w:val="24"/>
          <w:szCs w:val="24"/>
          <w:lang w:val="zh-CN"/>
        </w:rPr>
        <w:t>峰计算应不低于</w:t>
      </w:r>
      <w:r>
        <w:rPr>
          <w:rFonts w:hint="default" w:ascii="Times New Roman" w:hAnsi="Times New Roman" w:cs="Times New Roman"/>
          <w:sz w:val="24"/>
          <w:szCs w:val="24"/>
        </w:rPr>
        <w:t>6000</w:t>
      </w:r>
      <w:r>
        <w:rPr>
          <w:rFonts w:hint="default" w:ascii="Times New Roman" w:hAnsi="Times New Roman" w:cs="Times New Roman"/>
          <w:sz w:val="24"/>
          <w:szCs w:val="24"/>
          <w:lang w:val="zh-CN"/>
        </w:rPr>
        <w:t>。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7"/>
        <w:gridCol w:w="2841"/>
        <w:gridCol w:w="2841"/>
      </w:tblGrid>
      <w:tr w14:paraId="20F3BA3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5" w:type="pct"/>
            <w:tcBorders>
              <w:bottom w:val="single" w:color="auto" w:sz="4" w:space="0"/>
            </w:tcBorders>
            <w:noWrap/>
            <w:vAlign w:val="bottom"/>
          </w:tcPr>
          <w:p w14:paraId="4A6133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时间（分钟）</w:t>
            </w:r>
          </w:p>
        </w:tc>
        <w:tc>
          <w:tcPr>
            <w:tcW w:w="1667" w:type="pct"/>
            <w:tcBorders>
              <w:bottom w:val="single" w:color="auto" w:sz="4" w:space="0"/>
            </w:tcBorders>
            <w:noWrap/>
            <w:vAlign w:val="bottom"/>
          </w:tcPr>
          <w:p w14:paraId="0E12CB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流动相A（%）</w:t>
            </w:r>
          </w:p>
        </w:tc>
        <w:tc>
          <w:tcPr>
            <w:tcW w:w="1667" w:type="pct"/>
            <w:tcBorders>
              <w:bottom w:val="single" w:color="auto" w:sz="4" w:space="0"/>
            </w:tcBorders>
            <w:noWrap/>
            <w:vAlign w:val="bottom"/>
          </w:tcPr>
          <w:p w14:paraId="0226AE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流动相B（%）</w:t>
            </w:r>
          </w:p>
        </w:tc>
      </w:tr>
      <w:tr w14:paraId="479C7C4F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5" w:type="pct"/>
            <w:tcBorders>
              <w:top w:val="single" w:color="auto" w:sz="4" w:space="0"/>
              <w:tl2br w:val="nil"/>
              <w:tr2bl w:val="nil"/>
            </w:tcBorders>
            <w:noWrap/>
            <w:vAlign w:val="bottom"/>
          </w:tcPr>
          <w:p w14:paraId="413C15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0～10</w:t>
            </w:r>
          </w:p>
        </w:tc>
        <w:tc>
          <w:tcPr>
            <w:tcW w:w="1667" w:type="pct"/>
            <w:tcBorders>
              <w:top w:val="single" w:color="auto" w:sz="4" w:space="0"/>
              <w:tl2br w:val="nil"/>
              <w:tr2bl w:val="nil"/>
            </w:tcBorders>
            <w:noWrap/>
            <w:vAlign w:val="bottom"/>
          </w:tcPr>
          <w:p w14:paraId="390E8C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11</w:t>
            </w:r>
          </w:p>
        </w:tc>
        <w:tc>
          <w:tcPr>
            <w:tcW w:w="1667" w:type="pct"/>
            <w:tcBorders>
              <w:top w:val="single" w:color="auto" w:sz="4" w:space="0"/>
              <w:tl2br w:val="nil"/>
              <w:tr2bl w:val="nil"/>
            </w:tcBorders>
            <w:noWrap/>
            <w:vAlign w:val="bottom"/>
          </w:tcPr>
          <w:p w14:paraId="7E2760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89</w:t>
            </w:r>
          </w:p>
        </w:tc>
      </w:tr>
      <w:tr w14:paraId="5159A6D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5" w:type="pct"/>
            <w:tcBorders>
              <w:tl2br w:val="nil"/>
              <w:tr2bl w:val="nil"/>
            </w:tcBorders>
            <w:noWrap/>
            <w:vAlign w:val="bottom"/>
          </w:tcPr>
          <w:p w14:paraId="5959B5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10～15</w:t>
            </w:r>
          </w:p>
        </w:tc>
        <w:tc>
          <w:tcPr>
            <w:tcW w:w="1667" w:type="pct"/>
            <w:tcBorders>
              <w:tl2br w:val="nil"/>
              <w:tr2bl w:val="nil"/>
            </w:tcBorders>
            <w:noWrap/>
            <w:vAlign w:val="bottom"/>
          </w:tcPr>
          <w:p w14:paraId="618ED8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11→20</w:t>
            </w:r>
          </w:p>
        </w:tc>
        <w:tc>
          <w:tcPr>
            <w:tcW w:w="1667" w:type="pct"/>
            <w:tcBorders>
              <w:tl2br w:val="nil"/>
              <w:tr2bl w:val="nil"/>
            </w:tcBorders>
            <w:noWrap/>
            <w:vAlign w:val="bottom"/>
          </w:tcPr>
          <w:p w14:paraId="4009C1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89→80</w:t>
            </w:r>
          </w:p>
        </w:tc>
      </w:tr>
      <w:tr w14:paraId="18A021D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65" w:type="pct"/>
            <w:tcBorders>
              <w:tl2br w:val="nil"/>
              <w:tr2bl w:val="nil"/>
            </w:tcBorders>
            <w:noWrap/>
            <w:vAlign w:val="bottom"/>
          </w:tcPr>
          <w:p w14:paraId="7761FD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15～40</w:t>
            </w:r>
          </w:p>
        </w:tc>
        <w:tc>
          <w:tcPr>
            <w:tcW w:w="1667" w:type="pct"/>
            <w:tcBorders>
              <w:tl2br w:val="nil"/>
              <w:tr2bl w:val="nil"/>
            </w:tcBorders>
            <w:noWrap/>
            <w:vAlign w:val="bottom"/>
          </w:tcPr>
          <w:p w14:paraId="0557C1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20</w:t>
            </w:r>
          </w:p>
        </w:tc>
        <w:tc>
          <w:tcPr>
            <w:tcW w:w="1667" w:type="pct"/>
            <w:tcBorders>
              <w:tl2br w:val="nil"/>
              <w:tr2bl w:val="nil"/>
            </w:tcBorders>
            <w:noWrap/>
            <w:vAlign w:val="bottom"/>
          </w:tcPr>
          <w:p w14:paraId="12B083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80</w:t>
            </w:r>
          </w:p>
        </w:tc>
      </w:tr>
    </w:tbl>
    <w:p w14:paraId="523F6E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/>
          <w:color w:val="0000FF"/>
          <w:sz w:val="24"/>
        </w:rPr>
      </w:pPr>
      <w:r>
        <w:rPr>
          <w:rFonts w:hint="default" w:ascii="Times New Roman" w:hAnsi="Times New Roman" w:eastAsia="黑体" w:cs="Times New Roman"/>
          <w:sz w:val="24"/>
        </w:rPr>
        <w:t>对照品溶液的制备</w:t>
      </w:r>
      <w:r>
        <w:rPr>
          <w:rFonts w:hint="default" w:ascii="Times New Roman" w:hAnsi="Times New Roman" w:cs="Times New Roman"/>
          <w:sz w:val="24"/>
        </w:rPr>
        <w:t xml:space="preserve">  </w:t>
      </w:r>
      <w:r>
        <w:rPr>
          <w:rFonts w:hint="default" w:ascii="Times New Roman" w:hAnsi="Times New Roman" w:cs="Times New Roman"/>
          <w:bCs/>
          <w:sz w:val="24"/>
          <w:szCs w:val="24"/>
        </w:rPr>
        <w:t>取绿原酸对照品、3,4-</w:t>
      </w:r>
      <w:r>
        <w:rPr>
          <w:rFonts w:hint="default" w:ascii="Times New Roman" w:hAnsi="Times New Roman" w:cs="Times New Roman"/>
          <w:bCs/>
          <w:i/>
          <w:iCs/>
          <w:sz w:val="24"/>
          <w:szCs w:val="24"/>
        </w:rPr>
        <w:t>O</w:t>
      </w:r>
      <w:r>
        <w:rPr>
          <w:rFonts w:hint="default" w:ascii="Times New Roman" w:hAnsi="Times New Roman" w:cs="Times New Roman"/>
          <w:bCs/>
          <w:sz w:val="24"/>
          <w:szCs w:val="24"/>
        </w:rPr>
        <w:t>-二咖啡酰奎宁酸</w:t>
      </w:r>
      <w:r>
        <w:rPr>
          <w:rFonts w:hint="default" w:ascii="Times New Roman" w:hAnsi="Times New Roman" w:cs="Times New Roman"/>
          <w:sz w:val="24"/>
          <w:szCs w:val="24"/>
        </w:rPr>
        <w:t>对照品</w:t>
      </w:r>
      <w:r>
        <w:rPr>
          <w:rFonts w:hint="default" w:ascii="Times New Roman" w:hAnsi="Times New Roman" w:cs="Times New Roman"/>
          <w:bCs/>
          <w:sz w:val="24"/>
          <w:szCs w:val="24"/>
        </w:rPr>
        <w:t>、3,5-</w:t>
      </w:r>
      <w:r>
        <w:rPr>
          <w:rFonts w:hint="default" w:ascii="Times New Roman" w:hAnsi="Times New Roman" w:cs="Times New Roman"/>
          <w:bCs/>
          <w:i/>
          <w:iCs/>
          <w:sz w:val="24"/>
          <w:szCs w:val="24"/>
        </w:rPr>
        <w:t>O</w:t>
      </w:r>
      <w:r>
        <w:rPr>
          <w:rFonts w:hint="default" w:ascii="Times New Roman" w:hAnsi="Times New Roman" w:cs="Times New Roman"/>
          <w:bCs/>
          <w:sz w:val="24"/>
          <w:szCs w:val="24"/>
        </w:rPr>
        <w:t>-二咖啡酰奎宁酸</w:t>
      </w:r>
      <w:r>
        <w:rPr>
          <w:rFonts w:hint="default" w:ascii="Times New Roman" w:hAnsi="Times New Roman" w:cs="Times New Roman"/>
          <w:sz w:val="24"/>
          <w:szCs w:val="24"/>
        </w:rPr>
        <w:t>对照品</w:t>
      </w:r>
      <w:r>
        <w:rPr>
          <w:rFonts w:hint="default" w:ascii="Times New Roman" w:hAnsi="Times New Roman" w:cs="Times New Roman"/>
          <w:bCs/>
          <w:sz w:val="24"/>
          <w:szCs w:val="24"/>
        </w:rPr>
        <w:t>、4,5-</w:t>
      </w:r>
      <w:r>
        <w:rPr>
          <w:rFonts w:hint="default" w:ascii="Times New Roman" w:hAnsi="Times New Roman" w:cs="Times New Roman"/>
          <w:bCs/>
          <w:i/>
          <w:iCs/>
          <w:sz w:val="24"/>
          <w:szCs w:val="24"/>
        </w:rPr>
        <w:t>O</w:t>
      </w:r>
      <w:r>
        <w:rPr>
          <w:rFonts w:hint="default" w:ascii="Times New Roman" w:hAnsi="Times New Roman" w:cs="Times New Roman"/>
          <w:bCs/>
          <w:sz w:val="24"/>
          <w:szCs w:val="24"/>
        </w:rPr>
        <w:t>-二咖啡酰奎宁酸</w:t>
      </w:r>
      <w:r>
        <w:rPr>
          <w:rFonts w:hint="default" w:ascii="Times New Roman" w:hAnsi="Times New Roman" w:cs="Times New Roman"/>
          <w:sz w:val="24"/>
          <w:szCs w:val="24"/>
        </w:rPr>
        <w:t>对照品</w:t>
      </w:r>
      <w:r>
        <w:rPr>
          <w:rFonts w:hint="default" w:ascii="Times New Roman" w:hAnsi="Times New Roman" w:cs="Times New Roman"/>
          <w:bCs/>
          <w:sz w:val="24"/>
          <w:szCs w:val="24"/>
        </w:rPr>
        <w:t>适量，精密称定，分别加70%甲醇制成每1ml含绿原酸25μg、3,4-</w:t>
      </w:r>
      <w:r>
        <w:rPr>
          <w:rFonts w:hint="default" w:ascii="Times New Roman" w:hAnsi="Times New Roman" w:cs="Times New Roman"/>
          <w:bCs/>
          <w:i/>
          <w:iCs/>
          <w:sz w:val="24"/>
          <w:szCs w:val="24"/>
        </w:rPr>
        <w:t>O</w:t>
      </w:r>
      <w:r>
        <w:rPr>
          <w:rFonts w:hint="default" w:ascii="Times New Roman" w:hAnsi="Times New Roman" w:cs="Times New Roman"/>
          <w:bCs/>
          <w:sz w:val="24"/>
          <w:szCs w:val="24"/>
        </w:rPr>
        <w:t>-二咖啡酰奎宁酸</w:t>
      </w:r>
      <w:r>
        <w:rPr>
          <w:rFonts w:hint="default" w:ascii="Times New Roman" w:hAnsi="Times New Roman" w:cs="Times New Roman"/>
          <w:sz w:val="24"/>
          <w:szCs w:val="24"/>
        </w:rPr>
        <w:t>对照品25</w:t>
      </w:r>
      <w:r>
        <w:rPr>
          <w:rFonts w:hint="default" w:ascii="Times New Roman" w:hAnsi="Times New Roman" w:cs="Times New Roman"/>
          <w:bCs/>
          <w:sz w:val="24"/>
          <w:szCs w:val="24"/>
        </w:rPr>
        <w:t>μg、3,5-</w:t>
      </w:r>
      <w:r>
        <w:rPr>
          <w:rFonts w:hint="default" w:ascii="Times New Roman" w:hAnsi="Times New Roman" w:cs="Times New Roman"/>
          <w:bCs/>
          <w:i/>
          <w:iCs/>
          <w:sz w:val="24"/>
          <w:szCs w:val="24"/>
        </w:rPr>
        <w:t>O</w:t>
      </w:r>
      <w:r>
        <w:rPr>
          <w:rFonts w:hint="default" w:ascii="Times New Roman" w:hAnsi="Times New Roman" w:cs="Times New Roman"/>
          <w:bCs/>
          <w:sz w:val="24"/>
          <w:szCs w:val="24"/>
        </w:rPr>
        <w:t>-二咖啡酰奎宁酸</w:t>
      </w:r>
      <w:r>
        <w:rPr>
          <w:rFonts w:hint="default" w:ascii="Times New Roman" w:hAnsi="Times New Roman" w:cs="Times New Roman"/>
          <w:sz w:val="24"/>
          <w:szCs w:val="24"/>
        </w:rPr>
        <w:t>对照品</w:t>
      </w:r>
      <w:r>
        <w:rPr>
          <w:rFonts w:hint="default" w:ascii="Times New Roman" w:hAnsi="Times New Roman" w:cs="Times New Roman"/>
          <w:bCs/>
          <w:sz w:val="24"/>
          <w:szCs w:val="24"/>
        </w:rPr>
        <w:t>50μg、4,5-</w:t>
      </w:r>
      <w:r>
        <w:rPr>
          <w:rFonts w:hint="default" w:ascii="Times New Roman" w:hAnsi="Times New Roman" w:cs="Times New Roman"/>
          <w:bCs/>
          <w:i/>
          <w:iCs/>
          <w:sz w:val="24"/>
          <w:szCs w:val="24"/>
        </w:rPr>
        <w:t>O</w:t>
      </w:r>
      <w:r>
        <w:rPr>
          <w:rFonts w:hint="default" w:ascii="Times New Roman" w:hAnsi="Times New Roman" w:cs="Times New Roman"/>
          <w:bCs/>
          <w:sz w:val="24"/>
          <w:szCs w:val="24"/>
        </w:rPr>
        <w:t>-二咖啡酰奎宁酸</w:t>
      </w:r>
      <w:r>
        <w:rPr>
          <w:rFonts w:hint="default" w:ascii="Times New Roman" w:hAnsi="Times New Roman" w:cs="Times New Roman"/>
          <w:sz w:val="24"/>
          <w:szCs w:val="24"/>
        </w:rPr>
        <w:t>对照品50</w:t>
      </w:r>
      <w:r>
        <w:rPr>
          <w:rFonts w:hint="default" w:ascii="Times New Roman" w:hAnsi="Times New Roman" w:cs="Times New Roman"/>
          <w:bCs/>
          <w:sz w:val="24"/>
          <w:szCs w:val="24"/>
        </w:rPr>
        <w:t>μg的溶液，即得。</w:t>
      </w:r>
    </w:p>
    <w:p w14:paraId="667B46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/>
          <w:bCs/>
          <w:color w:val="000000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</w:rPr>
        <w:t>供试品溶液的制备</w:t>
      </w:r>
      <w:r>
        <w:rPr>
          <w:rFonts w:hint="default" w:ascii="Times New Roman" w:hAnsi="Times New Roman" w:cs="Times New Roman"/>
          <w:sz w:val="24"/>
        </w:rPr>
        <w:t xml:space="preserve"> 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取本品粉末（过二号筛）</w:t>
      </w:r>
      <w:r>
        <w:rPr>
          <w:rFonts w:hint="default" w:ascii="Times New Roman" w:hAnsi="Times New Roman" w:cs="Times New Roman"/>
          <w:bCs/>
          <w:color w:val="000000"/>
          <w:sz w:val="24"/>
          <w:szCs w:val="24"/>
        </w:rPr>
        <w:t>约0.5g，精密称定，置具塞锥形瓶中，精密加入70%甲醇50ml，密塞，称定重量，超声处理（功率480W，频率40kHz）30分钟，放冷，再称定重量，用70%甲醇补足减失的重量，摇匀，滤过，取续滤液，即得。</w:t>
      </w:r>
    </w:p>
    <w:p w14:paraId="2258EB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eastAsia="黑体" w:cs="Times New Roman"/>
          <w:sz w:val="24"/>
        </w:rPr>
        <w:t>测定法</w:t>
      </w:r>
      <w:r>
        <w:rPr>
          <w:rFonts w:hint="default" w:ascii="Times New Roman" w:hAnsi="Times New Roman" w:cs="Times New Roman"/>
          <w:sz w:val="24"/>
        </w:rPr>
        <w:t xml:space="preserve">  分别精密吸取对照品溶液与供试品溶液各10</w:t>
      </w:r>
      <w:r>
        <w:rPr>
          <w:rFonts w:hint="default" w:ascii="Times New Roman" w:hAnsi="Times New Roman" w:cs="Times New Roman"/>
          <w:sz w:val="24"/>
        </w:rPr>
        <w:t>µ1</w:t>
      </w:r>
      <w:r>
        <w:rPr>
          <w:rFonts w:hint="default" w:ascii="Times New Roman" w:hAnsi="Times New Roman" w:cs="Times New Roman"/>
          <w:sz w:val="24"/>
        </w:rPr>
        <w:t>，注入液相色谱仪，测定，即得。</w:t>
      </w:r>
    </w:p>
    <w:p w14:paraId="4852B8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/>
          <w:kern w:val="0"/>
          <w:sz w:val="24"/>
        </w:rPr>
      </w:pPr>
      <w:r>
        <w:rPr>
          <w:rFonts w:hint="default" w:ascii="Times New Roman" w:hAnsi="Times New Roman" w:cs="Times New Roman"/>
          <w:sz w:val="24"/>
        </w:rPr>
        <w:t>本品按干燥品计算，</w:t>
      </w:r>
      <w:r>
        <w:rPr>
          <w:rFonts w:hint="default" w:ascii="Times New Roman" w:hAnsi="Times New Roman" w:cs="Times New Roman"/>
          <w:kern w:val="0"/>
          <w:sz w:val="24"/>
        </w:rPr>
        <w:t>含酚酸类以绿原酸</w:t>
      </w:r>
      <w:r>
        <w:rPr>
          <w:rFonts w:hint="default" w:ascii="Times New Roman" w:hAnsi="Times New Roman" w:cs="Times New Roman"/>
          <w:sz w:val="24"/>
        </w:rPr>
        <w:t>（C</w:t>
      </w:r>
      <w:r>
        <w:rPr>
          <w:rFonts w:hint="default" w:ascii="Times New Roman" w:hAnsi="Times New Roman" w:cs="Times New Roman"/>
          <w:sz w:val="13"/>
          <w:szCs w:val="13"/>
        </w:rPr>
        <w:t>16</w:t>
      </w:r>
      <w:r>
        <w:rPr>
          <w:rFonts w:hint="default" w:ascii="Times New Roman" w:hAnsi="Times New Roman" w:cs="Times New Roman"/>
          <w:sz w:val="24"/>
        </w:rPr>
        <w:t>H</w:t>
      </w:r>
      <w:r>
        <w:rPr>
          <w:rFonts w:hint="default" w:ascii="Times New Roman" w:hAnsi="Times New Roman" w:cs="Times New Roman"/>
          <w:sz w:val="13"/>
          <w:szCs w:val="13"/>
        </w:rPr>
        <w:t>18</w:t>
      </w:r>
      <w:r>
        <w:rPr>
          <w:rFonts w:hint="default" w:ascii="Times New Roman" w:hAnsi="Times New Roman" w:cs="Times New Roman"/>
          <w:sz w:val="24"/>
        </w:rPr>
        <w:t>O</w:t>
      </w:r>
      <w:r>
        <w:rPr>
          <w:rFonts w:hint="default" w:ascii="Times New Roman" w:hAnsi="Times New Roman" w:cs="Times New Roman"/>
          <w:sz w:val="13"/>
          <w:szCs w:val="13"/>
        </w:rPr>
        <w:t>9</w:t>
      </w:r>
      <w:r>
        <w:rPr>
          <w:rFonts w:hint="default" w:ascii="Times New Roman" w:hAnsi="Times New Roman" w:cs="Times New Roman"/>
          <w:sz w:val="24"/>
        </w:rPr>
        <w:t>）</w:t>
      </w:r>
      <w:r>
        <w:rPr>
          <w:rFonts w:hint="default" w:ascii="Times New Roman" w:hAnsi="Times New Roman" w:cs="Times New Roman"/>
          <w:kern w:val="0"/>
          <w:sz w:val="24"/>
        </w:rPr>
        <w:t>、</w:t>
      </w:r>
      <w:bookmarkStart w:id="3" w:name="_GoBack"/>
      <w:bookmarkEnd w:id="3"/>
      <w:r>
        <w:rPr>
          <w:rFonts w:hint="default" w:ascii="Times New Roman" w:hAnsi="Times New Roman" w:cs="Times New Roman"/>
          <w:bCs/>
          <w:sz w:val="24"/>
          <w:szCs w:val="24"/>
        </w:rPr>
        <w:t>3,4-</w:t>
      </w:r>
      <w:r>
        <w:rPr>
          <w:rFonts w:hint="default" w:ascii="Times New Roman" w:hAnsi="Times New Roman" w:cs="Times New Roman"/>
          <w:bCs/>
          <w:i/>
          <w:iCs/>
          <w:sz w:val="24"/>
          <w:szCs w:val="24"/>
        </w:rPr>
        <w:t>O</w:t>
      </w:r>
      <w:r>
        <w:rPr>
          <w:rFonts w:hint="default" w:ascii="Times New Roman" w:hAnsi="Times New Roman" w:cs="Times New Roman"/>
          <w:bCs/>
          <w:sz w:val="24"/>
          <w:szCs w:val="24"/>
        </w:rPr>
        <w:t>-二咖啡酰奎宁酸</w:t>
      </w:r>
      <w:r>
        <w:rPr>
          <w:rFonts w:hint="default" w:ascii="Times New Roman" w:hAnsi="Times New Roman" w:cs="Times New Roman"/>
          <w:sz w:val="24"/>
        </w:rPr>
        <w:t>（C</w:t>
      </w:r>
      <w:r>
        <w:rPr>
          <w:rFonts w:hint="default" w:ascii="Times New Roman" w:hAnsi="Times New Roman" w:cs="Times New Roman"/>
          <w:sz w:val="13"/>
          <w:szCs w:val="13"/>
        </w:rPr>
        <w:t>25</w:t>
      </w:r>
      <w:r>
        <w:rPr>
          <w:rFonts w:hint="default" w:ascii="Times New Roman" w:hAnsi="Times New Roman" w:cs="Times New Roman"/>
          <w:sz w:val="24"/>
        </w:rPr>
        <w:t>H</w:t>
      </w:r>
      <w:r>
        <w:rPr>
          <w:rFonts w:hint="default" w:ascii="Times New Roman" w:hAnsi="Times New Roman" w:cs="Times New Roman"/>
          <w:sz w:val="13"/>
          <w:szCs w:val="13"/>
        </w:rPr>
        <w:t>24</w:t>
      </w:r>
      <w:r>
        <w:rPr>
          <w:rFonts w:hint="default" w:ascii="Times New Roman" w:hAnsi="Times New Roman" w:cs="Times New Roman"/>
          <w:sz w:val="24"/>
        </w:rPr>
        <w:t>O</w:t>
      </w:r>
      <w:r>
        <w:rPr>
          <w:rFonts w:hint="default" w:ascii="Times New Roman" w:hAnsi="Times New Roman" w:cs="Times New Roman"/>
          <w:sz w:val="13"/>
          <w:szCs w:val="13"/>
        </w:rPr>
        <w:t>12</w:t>
      </w:r>
      <w:r>
        <w:rPr>
          <w:rFonts w:hint="default" w:ascii="Times New Roman" w:hAnsi="Times New Roman" w:cs="Times New Roman"/>
          <w:sz w:val="24"/>
        </w:rPr>
        <w:t>）</w:t>
      </w:r>
      <w:r>
        <w:rPr>
          <w:rFonts w:hint="default" w:ascii="Times New Roman" w:hAnsi="Times New Roman" w:cs="Times New Roman"/>
          <w:bCs/>
          <w:sz w:val="24"/>
          <w:szCs w:val="24"/>
        </w:rPr>
        <w:t>、</w:t>
      </w:r>
      <w:r>
        <w:rPr>
          <w:rFonts w:hint="default" w:ascii="Times New Roman" w:hAnsi="Times New Roman" w:cs="Times New Roman"/>
          <w:kern w:val="0"/>
          <w:sz w:val="24"/>
        </w:rPr>
        <w:t>3,5</w:t>
      </w:r>
      <w:r>
        <w:rPr>
          <w:rFonts w:hint="default" w:ascii="Times New Roman" w:hAnsi="Times New Roman" w:cs="Times New Roman"/>
          <w:bCs/>
          <w:i/>
          <w:iCs/>
          <w:sz w:val="24"/>
          <w:szCs w:val="24"/>
        </w:rPr>
        <w:t>-O</w:t>
      </w:r>
      <w:r>
        <w:rPr>
          <w:rFonts w:hint="default" w:ascii="Times New Roman" w:hAnsi="Times New Roman" w:cs="Times New Roman"/>
          <w:kern w:val="0"/>
          <w:sz w:val="24"/>
        </w:rPr>
        <w:t>-二咖啡酰奎宁酸</w:t>
      </w:r>
      <w:r>
        <w:rPr>
          <w:rFonts w:hint="default" w:ascii="Times New Roman" w:hAnsi="Times New Roman" w:cs="Times New Roman"/>
          <w:sz w:val="24"/>
        </w:rPr>
        <w:t>（C</w:t>
      </w:r>
      <w:r>
        <w:rPr>
          <w:rFonts w:hint="default" w:ascii="Times New Roman" w:hAnsi="Times New Roman" w:cs="Times New Roman"/>
          <w:sz w:val="13"/>
          <w:szCs w:val="13"/>
        </w:rPr>
        <w:t>25</w:t>
      </w:r>
      <w:r>
        <w:rPr>
          <w:rFonts w:hint="default" w:ascii="Times New Roman" w:hAnsi="Times New Roman" w:cs="Times New Roman"/>
          <w:sz w:val="24"/>
        </w:rPr>
        <w:t>H</w:t>
      </w:r>
      <w:r>
        <w:rPr>
          <w:rFonts w:hint="default" w:ascii="Times New Roman" w:hAnsi="Times New Roman" w:cs="Times New Roman"/>
          <w:sz w:val="13"/>
          <w:szCs w:val="13"/>
        </w:rPr>
        <w:t>24</w:t>
      </w:r>
      <w:r>
        <w:rPr>
          <w:rFonts w:hint="default" w:ascii="Times New Roman" w:hAnsi="Times New Roman" w:cs="Times New Roman"/>
          <w:sz w:val="24"/>
        </w:rPr>
        <w:t>O</w:t>
      </w:r>
      <w:r>
        <w:rPr>
          <w:rFonts w:hint="default" w:ascii="Times New Roman" w:hAnsi="Times New Roman" w:cs="Times New Roman"/>
          <w:sz w:val="13"/>
          <w:szCs w:val="13"/>
        </w:rPr>
        <w:t>12</w:t>
      </w:r>
      <w:r>
        <w:rPr>
          <w:rFonts w:hint="default" w:ascii="Times New Roman" w:hAnsi="Times New Roman" w:cs="Times New Roman"/>
          <w:sz w:val="24"/>
        </w:rPr>
        <w:t>）</w:t>
      </w:r>
      <w:r>
        <w:rPr>
          <w:rFonts w:hint="default" w:ascii="Times New Roman" w:hAnsi="Times New Roman" w:cs="Times New Roman"/>
          <w:kern w:val="0"/>
          <w:sz w:val="24"/>
        </w:rPr>
        <w:t>和4,5</w:t>
      </w:r>
      <w:r>
        <w:rPr>
          <w:rFonts w:hint="default" w:ascii="Times New Roman" w:hAnsi="Times New Roman" w:cs="Times New Roman"/>
          <w:bCs/>
          <w:i/>
          <w:iCs/>
          <w:sz w:val="24"/>
          <w:szCs w:val="24"/>
        </w:rPr>
        <w:t>-O</w:t>
      </w:r>
      <w:r>
        <w:rPr>
          <w:rFonts w:hint="default" w:ascii="Times New Roman" w:hAnsi="Times New Roman" w:cs="Times New Roman"/>
          <w:kern w:val="0"/>
          <w:sz w:val="24"/>
        </w:rPr>
        <w:t>-二咖啡酰奎宁酸</w:t>
      </w:r>
      <w:r>
        <w:rPr>
          <w:rFonts w:hint="default" w:ascii="Times New Roman" w:hAnsi="Times New Roman" w:cs="Times New Roman"/>
          <w:sz w:val="24"/>
        </w:rPr>
        <w:t>（C</w:t>
      </w:r>
      <w:r>
        <w:rPr>
          <w:rFonts w:hint="default" w:ascii="Times New Roman" w:hAnsi="Times New Roman" w:cs="Times New Roman"/>
          <w:sz w:val="13"/>
          <w:szCs w:val="13"/>
        </w:rPr>
        <w:t>25</w:t>
      </w:r>
      <w:r>
        <w:rPr>
          <w:rFonts w:hint="default" w:ascii="Times New Roman" w:hAnsi="Times New Roman" w:cs="Times New Roman"/>
          <w:sz w:val="24"/>
        </w:rPr>
        <w:t>H</w:t>
      </w:r>
      <w:r>
        <w:rPr>
          <w:rFonts w:hint="default" w:ascii="Times New Roman" w:hAnsi="Times New Roman" w:cs="Times New Roman"/>
          <w:sz w:val="13"/>
          <w:szCs w:val="13"/>
        </w:rPr>
        <w:t>24</w:t>
      </w:r>
      <w:r>
        <w:rPr>
          <w:rFonts w:hint="default" w:ascii="Times New Roman" w:hAnsi="Times New Roman" w:cs="Times New Roman"/>
          <w:sz w:val="24"/>
        </w:rPr>
        <w:t>O</w:t>
      </w:r>
      <w:r>
        <w:rPr>
          <w:rFonts w:hint="default" w:ascii="Times New Roman" w:hAnsi="Times New Roman" w:cs="Times New Roman"/>
          <w:sz w:val="13"/>
          <w:szCs w:val="13"/>
        </w:rPr>
        <w:t>12</w:t>
      </w:r>
      <w:r>
        <w:rPr>
          <w:rFonts w:hint="default" w:ascii="Times New Roman" w:hAnsi="Times New Roman" w:cs="Times New Roman"/>
          <w:sz w:val="24"/>
        </w:rPr>
        <w:t>）</w:t>
      </w:r>
      <w:r>
        <w:rPr>
          <w:rFonts w:hint="default" w:ascii="Times New Roman" w:hAnsi="Times New Roman" w:cs="Times New Roman"/>
          <w:kern w:val="0"/>
          <w:sz w:val="24"/>
        </w:rPr>
        <w:t>的总量计，不得少于0.</w:t>
      </w:r>
      <w:r>
        <w:rPr>
          <w:rFonts w:hint="default" w:ascii="Times New Roman" w:hAnsi="Times New Roman" w:cs="Times New Roman"/>
          <w:kern w:val="0"/>
          <w:sz w:val="24"/>
          <w:lang w:val="en-US" w:eastAsia="zh-CN"/>
        </w:rPr>
        <w:t>9</w:t>
      </w:r>
      <w:r>
        <w:rPr>
          <w:rFonts w:hint="eastAsia" w:ascii="Times New Roman" w:hAnsi="Times New Roman" w:cs="Times New Roman"/>
          <w:kern w:val="0"/>
          <w:sz w:val="24"/>
          <w:lang w:val="en-US" w:eastAsia="zh-CN"/>
        </w:rPr>
        <w:t>0</w:t>
      </w:r>
      <w:r>
        <w:rPr>
          <w:rFonts w:hint="default" w:ascii="Times New Roman" w:hAnsi="Times New Roman" w:cs="Times New Roman"/>
          <w:kern w:val="0"/>
          <w:sz w:val="24"/>
        </w:rPr>
        <w:t>%。</w:t>
      </w:r>
    </w:p>
    <w:p w14:paraId="1787F9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/>
          <w:kern w:val="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【</w:t>
      </w:r>
      <w:r>
        <w:rPr>
          <w:rFonts w:hint="default" w:ascii="Times New Roman" w:hAnsi="Times New Roman" w:eastAsia="黑体" w:cs="Times New Roman"/>
          <w:color w:val="000000"/>
          <w:sz w:val="24"/>
          <w:lang w:val="en-US" w:eastAsia="zh-CN"/>
        </w:rPr>
        <w:t>炮制</w:t>
      </w:r>
      <w:r>
        <w:rPr>
          <w:rFonts w:hint="default" w:ascii="Times New Roman" w:hAnsi="Times New Roman" w:eastAsia="黑体" w:cs="Times New Roman"/>
          <w:color w:val="000000"/>
          <w:sz w:val="24"/>
          <w:lang w:eastAsia="zh-CN"/>
        </w:rPr>
        <w:t>】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除去杂质，切段，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干燥。</w:t>
      </w:r>
    </w:p>
    <w:p w14:paraId="24E215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【性味与归经】</w:t>
      </w:r>
      <w:r>
        <w:rPr>
          <w:rFonts w:hint="default" w:ascii="Times New Roman" w:hAnsi="Times New Roman" w:cs="Times New Roman"/>
          <w:sz w:val="24"/>
          <w:szCs w:val="24"/>
        </w:rPr>
        <w:t>甘，微温。归胃、肝经。</w:t>
      </w:r>
    </w:p>
    <w:p w14:paraId="4353E4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【功能与主治】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温</w:t>
      </w:r>
      <w:r>
        <w:rPr>
          <w:rFonts w:hint="default" w:ascii="Times New Roman" w:hAnsi="Times New Roman" w:cs="Times New Roman"/>
          <w:sz w:val="24"/>
          <w:szCs w:val="24"/>
        </w:rPr>
        <w:t>胃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消</w:t>
      </w:r>
      <w:r>
        <w:rPr>
          <w:rFonts w:hint="default" w:ascii="Times New Roman" w:hAnsi="Times New Roman" w:cs="Times New Roman"/>
          <w:sz w:val="24"/>
          <w:szCs w:val="24"/>
        </w:rPr>
        <w:t>积，软坚散结，祛风除湿。用于胃脘痛，小儿食积，瘿瘤痰核，风湿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痹</w:t>
      </w:r>
      <w:r>
        <w:rPr>
          <w:rFonts w:hint="default" w:ascii="Times New Roman" w:hAnsi="Times New Roman" w:cs="Times New Roman"/>
          <w:sz w:val="24"/>
          <w:szCs w:val="24"/>
        </w:rPr>
        <w:t>痛。</w:t>
      </w:r>
    </w:p>
    <w:p w14:paraId="6F134D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eastAsia="黑体" w:cs="Times New Roman"/>
          <w:color w:val="000000"/>
          <w:sz w:val="24"/>
        </w:rPr>
        <w:t>【用法与用量】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cs="Times New Roman"/>
          <w:sz w:val="24"/>
          <w:szCs w:val="24"/>
        </w:rPr>
        <w:t>～15g。</w:t>
      </w:r>
    </w:p>
    <w:p w14:paraId="66E913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</w:pPr>
      <w:r>
        <w:rPr>
          <w:rFonts w:hint="default" w:ascii="Times New Roman" w:hAnsi="Times New Roman" w:eastAsia="黑体" w:cs="Times New Roman"/>
          <w:color w:val="000000"/>
          <w:sz w:val="24"/>
        </w:rPr>
        <w:t>【贮藏】</w:t>
      </w:r>
      <w:r>
        <w:rPr>
          <w:rFonts w:hint="default" w:ascii="Times New Roman" w:hAnsi="Times New Roman" w:cs="Times New Roman"/>
          <w:color w:val="000000"/>
          <w:sz w:val="24"/>
        </w:rPr>
        <w:t>置干燥处。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left="210" w:right="210"/>
      </w:pPr>
      <w:r>
        <w:separator/>
      </w:r>
    </w:p>
  </w:endnote>
  <w:endnote w:type="continuationSeparator" w:id="1">
    <w:p>
      <w:pPr>
        <w:ind w:left="210" w:right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551275">
    <w:pPr>
      <w:pStyle w:val="4"/>
      <w:ind w:right="21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C80F54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2C80F54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B284D1">
    <w:pPr>
      <w:pStyle w:val="4"/>
      <w:ind w:right="2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B02D6D">
    <w:pPr>
      <w:pStyle w:val="4"/>
      <w:ind w:right="2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left="210" w:right="210"/>
      </w:pPr>
      <w:r>
        <w:separator/>
      </w:r>
    </w:p>
  </w:footnote>
  <w:footnote w:type="continuationSeparator" w:id="1">
    <w:p>
      <w:pPr>
        <w:ind w:left="210" w:right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841793">
    <w:pPr>
      <w:pStyle w:val="5"/>
      <w:ind w:right="21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E51ED3">
    <w:pPr>
      <w:pStyle w:val="5"/>
      <w:ind w:right="21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E86CA8">
    <w:pPr>
      <w:pStyle w:val="5"/>
      <w:ind w:right="2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0F094B"/>
    <w:rsid w:val="000170E5"/>
    <w:rsid w:val="000B2CB4"/>
    <w:rsid w:val="00167D56"/>
    <w:rsid w:val="0017767D"/>
    <w:rsid w:val="00213B15"/>
    <w:rsid w:val="004E0AF7"/>
    <w:rsid w:val="00DD7751"/>
    <w:rsid w:val="00FB6983"/>
    <w:rsid w:val="02E34535"/>
    <w:rsid w:val="050F5B64"/>
    <w:rsid w:val="07C7496C"/>
    <w:rsid w:val="08B35408"/>
    <w:rsid w:val="08C67811"/>
    <w:rsid w:val="08E06C17"/>
    <w:rsid w:val="0A3D0C5A"/>
    <w:rsid w:val="0A7A7043"/>
    <w:rsid w:val="0AB84CE4"/>
    <w:rsid w:val="0C05627A"/>
    <w:rsid w:val="0CB91FC8"/>
    <w:rsid w:val="0CFC3A56"/>
    <w:rsid w:val="0FA82C47"/>
    <w:rsid w:val="10722D87"/>
    <w:rsid w:val="10FC16EA"/>
    <w:rsid w:val="13E34A24"/>
    <w:rsid w:val="158B335F"/>
    <w:rsid w:val="173C4B1A"/>
    <w:rsid w:val="190F094B"/>
    <w:rsid w:val="1AB854CF"/>
    <w:rsid w:val="1B26211B"/>
    <w:rsid w:val="1C5F3784"/>
    <w:rsid w:val="1C7B60E4"/>
    <w:rsid w:val="1E88694E"/>
    <w:rsid w:val="1F72671B"/>
    <w:rsid w:val="200C1947"/>
    <w:rsid w:val="205630F0"/>
    <w:rsid w:val="20936C7D"/>
    <w:rsid w:val="20F73196"/>
    <w:rsid w:val="222E0976"/>
    <w:rsid w:val="232474B6"/>
    <w:rsid w:val="235211FF"/>
    <w:rsid w:val="23524C31"/>
    <w:rsid w:val="25DE53E0"/>
    <w:rsid w:val="26ED25ED"/>
    <w:rsid w:val="286F0317"/>
    <w:rsid w:val="29B91BD0"/>
    <w:rsid w:val="2A714BF7"/>
    <w:rsid w:val="2CEB7DFF"/>
    <w:rsid w:val="2D377158"/>
    <w:rsid w:val="2D55796B"/>
    <w:rsid w:val="2DCB147E"/>
    <w:rsid w:val="2DF817D1"/>
    <w:rsid w:val="2E185DF9"/>
    <w:rsid w:val="2E6D0BD3"/>
    <w:rsid w:val="2E8C1F5E"/>
    <w:rsid w:val="31F5129D"/>
    <w:rsid w:val="32DB2141"/>
    <w:rsid w:val="33E70D61"/>
    <w:rsid w:val="340534D5"/>
    <w:rsid w:val="36390AE0"/>
    <w:rsid w:val="3740649B"/>
    <w:rsid w:val="387E0FDF"/>
    <w:rsid w:val="390414E4"/>
    <w:rsid w:val="392E7EF2"/>
    <w:rsid w:val="3A032734"/>
    <w:rsid w:val="3A787FB7"/>
    <w:rsid w:val="3DF03936"/>
    <w:rsid w:val="3EA2429F"/>
    <w:rsid w:val="406920BC"/>
    <w:rsid w:val="41553E8A"/>
    <w:rsid w:val="427C23A2"/>
    <w:rsid w:val="42826B57"/>
    <w:rsid w:val="46160745"/>
    <w:rsid w:val="461A3460"/>
    <w:rsid w:val="48002E03"/>
    <w:rsid w:val="486E697A"/>
    <w:rsid w:val="49942402"/>
    <w:rsid w:val="4B1F1ECE"/>
    <w:rsid w:val="4D5E5083"/>
    <w:rsid w:val="4D836F19"/>
    <w:rsid w:val="4D867E3C"/>
    <w:rsid w:val="4E422562"/>
    <w:rsid w:val="4F002C5F"/>
    <w:rsid w:val="4F0F0C81"/>
    <w:rsid w:val="5154285E"/>
    <w:rsid w:val="5160442B"/>
    <w:rsid w:val="52C75604"/>
    <w:rsid w:val="534E7AA4"/>
    <w:rsid w:val="54152355"/>
    <w:rsid w:val="5574619B"/>
    <w:rsid w:val="56B16BDA"/>
    <w:rsid w:val="58117322"/>
    <w:rsid w:val="589D5CBC"/>
    <w:rsid w:val="59927DCB"/>
    <w:rsid w:val="5AAC3DC6"/>
    <w:rsid w:val="5B2C693E"/>
    <w:rsid w:val="5C0A0D68"/>
    <w:rsid w:val="5C573D9B"/>
    <w:rsid w:val="5E5F59CB"/>
    <w:rsid w:val="5E7975DD"/>
    <w:rsid w:val="5F067200"/>
    <w:rsid w:val="60BF4FBC"/>
    <w:rsid w:val="62A47F2E"/>
    <w:rsid w:val="6341022B"/>
    <w:rsid w:val="639F2321"/>
    <w:rsid w:val="64F052E8"/>
    <w:rsid w:val="668313EA"/>
    <w:rsid w:val="685933BE"/>
    <w:rsid w:val="693A33DF"/>
    <w:rsid w:val="6CC52F08"/>
    <w:rsid w:val="6D2629E7"/>
    <w:rsid w:val="6ECF3C55"/>
    <w:rsid w:val="70311306"/>
    <w:rsid w:val="709976F3"/>
    <w:rsid w:val="72DE037E"/>
    <w:rsid w:val="744F67A7"/>
    <w:rsid w:val="754D5E80"/>
    <w:rsid w:val="754E1B76"/>
    <w:rsid w:val="76113BC2"/>
    <w:rsid w:val="76BE1335"/>
    <w:rsid w:val="77380C63"/>
    <w:rsid w:val="7AA1462E"/>
    <w:rsid w:val="7AD703D1"/>
    <w:rsid w:val="7D2B78B2"/>
    <w:rsid w:val="7F412996"/>
    <w:rsid w:val="7F95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left="210" w:leftChars="100" w:right="100" w:rightChars="1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一级标题"/>
    <w:basedOn w:val="9"/>
    <w:next w:val="9"/>
    <w:qFormat/>
    <w:uiPriority w:val="0"/>
    <w:pPr>
      <w:spacing w:line="240" w:lineRule="auto"/>
    </w:pPr>
    <w:rPr>
      <w:rFonts w:ascii="Times New Roman" w:hAnsi="Times New Roman"/>
      <w:sz w:val="28"/>
      <w:szCs w:val="28"/>
    </w:rPr>
  </w:style>
  <w:style w:type="paragraph" w:customStyle="1" w:styleId="9">
    <w:name w:val="二级标题"/>
    <w:basedOn w:val="2"/>
    <w:next w:val="1"/>
    <w:qFormat/>
    <w:uiPriority w:val="0"/>
    <w:pPr>
      <w:spacing w:before="0" w:after="0" w:line="360" w:lineRule="auto"/>
      <w:ind w:left="100"/>
    </w:pPr>
    <w:rPr>
      <w:sz w:val="24"/>
      <w:szCs w:val="24"/>
    </w:rPr>
  </w:style>
  <w:style w:type="paragraph" w:customStyle="1" w:styleId="10">
    <w:name w:val="自定义正文"/>
    <w:basedOn w:val="1"/>
    <w:qFormat/>
    <w:uiPriority w:val="0"/>
    <w:pPr>
      <w:spacing w:line="360" w:lineRule="auto"/>
      <w:ind w:right="210" w:firstLine="480" w:firstLineChars="200"/>
    </w:pPr>
    <w:rPr>
      <w:rFonts w:ascii="Times New Roman" w:hAnsi="Times New Roman"/>
      <w:sz w:val="24"/>
      <w:szCs w:val="24"/>
    </w:rPr>
  </w:style>
  <w:style w:type="character" w:customStyle="1" w:styleId="11">
    <w:name w:val="页眉 字符"/>
    <w:basedOn w:val="7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13">
    <w:name w:val="Revision"/>
    <w:hidden/>
    <w:unhideWhenUsed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1647</Words>
  <Characters>1969</Characters>
  <Lines>14</Lines>
  <Paragraphs>4</Paragraphs>
  <TotalTime>7</TotalTime>
  <ScaleCrop>false</ScaleCrop>
  <LinksUpToDate>false</LinksUpToDate>
  <CharactersWithSpaces>1995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2025-07-10T03:21:00Z</dcterms:created>
  <dc:creator>君</dc:creator>
  <cp:lastModifiedBy>木木</cp:lastModifiedBy>
  <cp:lastPrinted>2025-10-11T07:37:00Z</cp:lastPrinted>
  <dcterms:modified xsi:type="dcterms:W3CDTF">2025-11-22T03:49:24Z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D718EAD8158340A68CF93C54A7287934_13</vt:lpwstr>
  </property>
  <property fmtid="{D5CDD505-2E9C-101B-9397-08002B2CF9AE}" pid="4" name="KSOTemplateDocerSaveRecord">
    <vt:lpwstr>eyJoZGlkIjoiNTNhMjNhZmQxNjMyNjA2NzE5YjhmNDc2OTgzZGI1NWYiLCJ1c2VySWQiOiIxMDg4MzMyMTgxIn0=</vt:lpwstr>
  </property>
</Properties>
</file>